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9EF5" w14:textId="77777777" w:rsidR="006A6B45" w:rsidRDefault="006A6B45" w:rsidP="006A6B45">
      <w:pPr>
        <w:spacing w:after="225" w:line="240" w:lineRule="auto"/>
        <w:ind w:left="375"/>
        <w:outlineLvl w:val="0"/>
        <w:rPr>
          <w:rFonts w:ascii="Arial" w:eastAsia="Times New Roman" w:hAnsi="Arial" w:cs="Arial"/>
          <w:b/>
          <w:bCs/>
          <w:color w:val="000000"/>
          <w:kern w:val="36"/>
          <w:sz w:val="27"/>
          <w:szCs w:val="27"/>
          <w:lang w:eastAsia="en-GB"/>
          <w14:ligatures w14:val="none"/>
        </w:rPr>
      </w:pPr>
      <w:r>
        <w:rPr>
          <w:rFonts w:ascii="Arial" w:eastAsia="Times New Roman" w:hAnsi="Arial" w:cs="Arial"/>
          <w:b/>
          <w:bCs/>
          <w:color w:val="000000"/>
          <w:kern w:val="36"/>
          <w:sz w:val="27"/>
          <w:szCs w:val="27"/>
          <w:lang w:eastAsia="en-GB"/>
          <w14:ligatures w14:val="none"/>
        </w:rPr>
        <w:t>Footnote 16.   Home Working</w:t>
      </w:r>
    </w:p>
    <w:p w14:paraId="538FFB13" w14:textId="77777777" w:rsidR="006A6B45" w:rsidRDefault="006A6B45" w:rsidP="006A6B45">
      <w:pPr>
        <w:spacing w:after="225" w:line="240" w:lineRule="auto"/>
        <w:ind w:left="375"/>
        <w:outlineLvl w:val="0"/>
        <w:rPr>
          <w:rFonts w:ascii="Arial" w:eastAsia="Times New Roman" w:hAnsi="Arial" w:cs="Arial"/>
          <w:b/>
          <w:bCs/>
          <w:color w:val="000000"/>
          <w:kern w:val="36"/>
          <w:sz w:val="27"/>
          <w:szCs w:val="27"/>
          <w:lang w:eastAsia="en-GB"/>
          <w14:ligatures w14:val="none"/>
        </w:rPr>
      </w:pPr>
    </w:p>
    <w:p w14:paraId="2036C78F" w14:textId="038D01F0" w:rsidR="006A6B45" w:rsidRDefault="006A6B45" w:rsidP="006A6B45">
      <w:pPr>
        <w:spacing w:after="225" w:line="240" w:lineRule="auto"/>
        <w:ind w:left="375"/>
        <w:outlineLvl w:val="0"/>
        <w:rPr>
          <w:rFonts w:ascii="Arial" w:eastAsia="Times New Roman" w:hAnsi="Arial" w:cs="Arial"/>
          <w:b/>
          <w:bCs/>
          <w:color w:val="000000"/>
          <w:kern w:val="36"/>
          <w:sz w:val="27"/>
          <w:szCs w:val="27"/>
          <w:lang w:eastAsia="en-GB"/>
          <w14:ligatures w14:val="none"/>
        </w:rPr>
      </w:pPr>
      <w:r>
        <w:rPr>
          <w:rFonts w:ascii="Arial" w:eastAsia="Times New Roman" w:hAnsi="Arial" w:cs="Arial"/>
          <w:b/>
          <w:bCs/>
          <w:color w:val="000000"/>
          <w:kern w:val="36"/>
          <w:sz w:val="27"/>
          <w:szCs w:val="27"/>
          <w:lang w:eastAsia="en-GB"/>
          <w14:ligatures w14:val="none"/>
        </w:rPr>
        <w:t>Office of National Statistics</w:t>
      </w:r>
    </w:p>
    <w:p w14:paraId="45FF51DB" w14:textId="77777777" w:rsidR="006A6B45" w:rsidRDefault="006A6B45" w:rsidP="006A6B45">
      <w:pPr>
        <w:spacing w:after="225" w:line="240" w:lineRule="auto"/>
        <w:ind w:left="375"/>
        <w:outlineLvl w:val="0"/>
        <w:rPr>
          <w:rFonts w:ascii="Arial" w:eastAsia="Times New Roman" w:hAnsi="Arial" w:cs="Arial"/>
          <w:b/>
          <w:bCs/>
          <w:color w:val="000000"/>
          <w:kern w:val="36"/>
          <w:sz w:val="27"/>
          <w:szCs w:val="27"/>
          <w:lang w:eastAsia="en-GB"/>
          <w14:ligatures w14:val="none"/>
        </w:rPr>
      </w:pPr>
    </w:p>
    <w:p w14:paraId="3538F343" w14:textId="57CE4B97" w:rsidR="006A6B45" w:rsidRPr="006A6B45" w:rsidRDefault="006A6B45" w:rsidP="006A6B45">
      <w:pPr>
        <w:spacing w:after="225" w:line="240" w:lineRule="auto"/>
        <w:ind w:left="375"/>
        <w:outlineLvl w:val="0"/>
        <w:rPr>
          <w:rFonts w:ascii="Arial" w:eastAsia="Times New Roman" w:hAnsi="Arial" w:cs="Arial"/>
          <w:b/>
          <w:bCs/>
          <w:color w:val="000000"/>
          <w:kern w:val="36"/>
          <w:sz w:val="28"/>
          <w:szCs w:val="28"/>
          <w:lang w:eastAsia="en-GB"/>
          <w14:ligatures w14:val="none"/>
        </w:rPr>
      </w:pPr>
      <w:r w:rsidRPr="006A6B45">
        <w:rPr>
          <w:rFonts w:ascii="Arial" w:eastAsia="Times New Roman" w:hAnsi="Arial" w:cs="Arial"/>
          <w:b/>
          <w:bCs/>
          <w:color w:val="000000"/>
          <w:kern w:val="36"/>
          <w:sz w:val="28"/>
          <w:szCs w:val="28"/>
          <w:lang w:eastAsia="en-GB"/>
          <w14:ligatures w14:val="none"/>
        </w:rPr>
        <w:t xml:space="preserve">Record proportion of people in employment are home </w:t>
      </w:r>
      <w:proofErr w:type="gramStart"/>
      <w:r w:rsidRPr="006A6B45">
        <w:rPr>
          <w:rFonts w:ascii="Arial" w:eastAsia="Times New Roman" w:hAnsi="Arial" w:cs="Arial"/>
          <w:b/>
          <w:bCs/>
          <w:color w:val="000000"/>
          <w:kern w:val="36"/>
          <w:sz w:val="28"/>
          <w:szCs w:val="28"/>
          <w:lang w:eastAsia="en-GB"/>
          <w14:ligatures w14:val="none"/>
        </w:rPr>
        <w:t>workers</w:t>
      </w:r>
      <w:proofErr w:type="gramEnd"/>
    </w:p>
    <w:p w14:paraId="64D931C5" w14:textId="77777777" w:rsidR="006A6B45" w:rsidRPr="006A6B45" w:rsidRDefault="006A6B45" w:rsidP="006A6B45">
      <w:pPr>
        <w:spacing w:after="150" w:line="240" w:lineRule="auto"/>
        <w:rPr>
          <w:rFonts w:ascii="Arial" w:eastAsia="Times New Roman" w:hAnsi="Arial" w:cs="Arial"/>
          <w:color w:val="000000"/>
          <w:kern w:val="0"/>
          <w:sz w:val="28"/>
          <w:szCs w:val="28"/>
          <w:lang w:eastAsia="en-GB"/>
          <w14:ligatures w14:val="none"/>
        </w:rPr>
      </w:pPr>
      <w:hyperlink r:id="rId5" w:history="1">
        <w:r w:rsidRPr="006A6B45">
          <w:rPr>
            <w:rFonts w:ascii="Arial" w:eastAsia="Times New Roman" w:hAnsi="Arial" w:cs="Arial"/>
            <w:color w:val="005582"/>
            <w:kern w:val="0"/>
            <w:sz w:val="28"/>
            <w:szCs w:val="28"/>
            <w:u w:val="single"/>
            <w:lang w:eastAsia="en-GB"/>
            <w14:ligatures w14:val="none"/>
          </w:rPr>
          <w:t>Part of Characteristics of Home Workers, 2014 Release</w:t>
        </w:r>
      </w:hyperlink>
    </w:p>
    <w:p w14:paraId="7B574A00" w14:textId="77777777" w:rsidR="006A6B45" w:rsidRPr="006A6B45" w:rsidRDefault="006A6B45" w:rsidP="006A6B45">
      <w:pPr>
        <w:spacing w:after="150" w:line="240" w:lineRule="auto"/>
        <w:rPr>
          <w:rFonts w:ascii="Arial" w:eastAsia="Times New Roman" w:hAnsi="Arial" w:cs="Arial"/>
          <w:color w:val="000000"/>
          <w:kern w:val="0"/>
          <w:sz w:val="28"/>
          <w:szCs w:val="28"/>
          <w:lang w:eastAsia="en-GB"/>
          <w14:ligatures w14:val="none"/>
        </w:rPr>
      </w:pPr>
      <w:r w:rsidRPr="006A6B45">
        <w:rPr>
          <w:rFonts w:ascii="Arial" w:eastAsia="Times New Roman" w:hAnsi="Arial" w:cs="Arial"/>
          <w:color w:val="000000"/>
          <w:kern w:val="0"/>
          <w:sz w:val="28"/>
          <w:szCs w:val="28"/>
          <w:lang w:eastAsia="en-GB"/>
          <w14:ligatures w14:val="none"/>
        </w:rPr>
        <w:t>Released: </w:t>
      </w:r>
      <w:r w:rsidRPr="006A6B45">
        <w:rPr>
          <w:rFonts w:ascii="Arial" w:eastAsia="Times New Roman" w:hAnsi="Arial" w:cs="Arial"/>
          <w:b/>
          <w:bCs/>
          <w:color w:val="000000"/>
          <w:kern w:val="0"/>
          <w:sz w:val="28"/>
          <w:szCs w:val="28"/>
          <w:lang w:eastAsia="en-GB"/>
          <w14:ligatures w14:val="none"/>
        </w:rPr>
        <w:t>04 June 2014</w:t>
      </w:r>
    </w:p>
    <w:p w14:paraId="5EBED05E" w14:textId="77777777" w:rsidR="006A6B45" w:rsidRPr="006A6B45" w:rsidRDefault="006A6B45" w:rsidP="006A6B45">
      <w:pPr>
        <w:shd w:val="clear" w:color="auto" w:fill="C6D6D8"/>
        <w:spacing w:after="0" w:line="240" w:lineRule="auto"/>
        <w:rPr>
          <w:rFonts w:ascii="Arial" w:eastAsia="Times New Roman" w:hAnsi="Arial" w:cs="Arial"/>
          <w:b/>
          <w:bCs/>
          <w:color w:val="000000"/>
          <w:kern w:val="0"/>
          <w:sz w:val="28"/>
          <w:szCs w:val="28"/>
          <w:lang w:eastAsia="en-GB"/>
          <w14:ligatures w14:val="none"/>
        </w:rPr>
      </w:pPr>
      <w:r w:rsidRPr="006A6B45">
        <w:rPr>
          <w:rFonts w:ascii="Arial" w:eastAsia="Times New Roman" w:hAnsi="Arial" w:cs="Arial"/>
          <w:b/>
          <w:bCs/>
          <w:color w:val="000000"/>
          <w:kern w:val="0"/>
          <w:sz w:val="28"/>
          <w:szCs w:val="28"/>
          <w:lang w:eastAsia="en-GB"/>
          <w14:ligatures w14:val="none"/>
        </w:rPr>
        <w:t>Related links</w:t>
      </w:r>
    </w:p>
    <w:p w14:paraId="594C956A" w14:textId="77777777" w:rsidR="006A6B45" w:rsidRPr="006A6B45" w:rsidRDefault="006A6B45" w:rsidP="006A6B45">
      <w:pPr>
        <w:numPr>
          <w:ilvl w:val="0"/>
          <w:numId w:val="1"/>
        </w:numPr>
        <w:pBdr>
          <w:bottom w:val="single" w:sz="6" w:space="6" w:color="DEDFE1"/>
        </w:pBdr>
        <w:shd w:val="clear" w:color="auto" w:fill="F0F4F5"/>
        <w:spacing w:before="150" w:line="240" w:lineRule="auto"/>
        <w:ind w:left="1695" w:right="600"/>
        <w:rPr>
          <w:rFonts w:ascii="Arial" w:eastAsia="Times New Roman" w:hAnsi="Arial" w:cs="Arial"/>
          <w:color w:val="000000"/>
          <w:kern w:val="0"/>
          <w:sz w:val="28"/>
          <w:szCs w:val="28"/>
          <w:lang w:eastAsia="en-GB"/>
          <w14:ligatures w14:val="none"/>
        </w:rPr>
      </w:pPr>
      <w:hyperlink r:id="rId6" w:history="1">
        <w:r w:rsidRPr="006A6B45">
          <w:rPr>
            <w:rFonts w:ascii="Arial" w:eastAsia="Times New Roman" w:hAnsi="Arial" w:cs="Arial"/>
            <w:color w:val="005582"/>
            <w:kern w:val="0"/>
            <w:sz w:val="28"/>
            <w:szCs w:val="28"/>
            <w:u w:val="single"/>
            <w:lang w:eastAsia="en-GB"/>
            <w14:ligatures w14:val="none"/>
          </w:rPr>
          <w:t>Characteristics of Home Workers, 2014</w:t>
        </w:r>
      </w:hyperlink>
    </w:p>
    <w:p w14:paraId="6A0CF998" w14:textId="77777777" w:rsidR="006A6B45" w:rsidRPr="006A6B45" w:rsidRDefault="006A6B45" w:rsidP="006A6B45">
      <w:pPr>
        <w:shd w:val="clear" w:color="auto" w:fill="FFFFFF"/>
        <w:spacing w:line="240" w:lineRule="auto"/>
        <w:rPr>
          <w:rFonts w:ascii="Arial" w:eastAsia="Times New Roman" w:hAnsi="Arial" w:cs="Arial"/>
          <w:b/>
          <w:bCs/>
          <w:color w:val="000000"/>
          <w:kern w:val="0"/>
          <w:sz w:val="28"/>
          <w:szCs w:val="28"/>
          <w:lang w:eastAsia="en-GB"/>
          <w14:ligatures w14:val="none"/>
        </w:rPr>
      </w:pPr>
      <w:r w:rsidRPr="006A6B45">
        <w:rPr>
          <w:rFonts w:ascii="Arial" w:eastAsia="Times New Roman" w:hAnsi="Arial" w:cs="Arial"/>
          <w:b/>
          <w:bCs/>
          <w:color w:val="000000"/>
          <w:kern w:val="0"/>
          <w:sz w:val="28"/>
          <w:szCs w:val="28"/>
          <w:lang w:eastAsia="en-GB"/>
          <w14:ligatures w14:val="none"/>
        </w:rPr>
        <w:t>There were 4.2 million home workers in January-March 2014</w:t>
      </w:r>
    </w:p>
    <w:p w14:paraId="0ED02040" w14:textId="77777777" w:rsidR="006A6B45" w:rsidRPr="006A6B45" w:rsidRDefault="006A6B45" w:rsidP="006A6B45">
      <w:pPr>
        <w:shd w:val="clear" w:color="auto" w:fill="FFFFFF"/>
        <w:spacing w:before="100" w:beforeAutospacing="1" w:after="100" w:afterAutospacing="1" w:line="240" w:lineRule="auto"/>
        <w:rPr>
          <w:rFonts w:ascii="Arial" w:eastAsia="Times New Roman" w:hAnsi="Arial" w:cs="Arial"/>
          <w:color w:val="000000"/>
          <w:kern w:val="0"/>
          <w:sz w:val="28"/>
          <w:szCs w:val="28"/>
          <w:lang w:eastAsia="en-GB"/>
          <w14:ligatures w14:val="none"/>
        </w:rPr>
      </w:pPr>
      <w:r w:rsidRPr="006A6B45">
        <w:rPr>
          <w:rFonts w:ascii="Arial" w:eastAsia="Times New Roman" w:hAnsi="Arial" w:cs="Arial"/>
          <w:color w:val="000000"/>
          <w:kern w:val="0"/>
          <w:sz w:val="28"/>
          <w:szCs w:val="28"/>
          <w:lang w:eastAsia="en-GB"/>
          <w14:ligatures w14:val="none"/>
        </w:rPr>
        <w:t>There were 4.2 million home workers in January-March 2014, or 13.9% of those in work. This was the highest rate of home working since comparable records began in 1998.</w:t>
      </w:r>
    </w:p>
    <w:p w14:paraId="6171FD88" w14:textId="77777777" w:rsidR="006A6B45" w:rsidRPr="006A6B45" w:rsidRDefault="006A6B45" w:rsidP="006A6B45">
      <w:pPr>
        <w:shd w:val="clear" w:color="auto" w:fill="FFFFFF"/>
        <w:spacing w:before="100" w:beforeAutospacing="1" w:after="100" w:afterAutospacing="1" w:line="240" w:lineRule="auto"/>
        <w:rPr>
          <w:rFonts w:ascii="Arial" w:eastAsia="Times New Roman" w:hAnsi="Arial" w:cs="Arial"/>
          <w:color w:val="000000"/>
          <w:kern w:val="0"/>
          <w:sz w:val="28"/>
          <w:szCs w:val="28"/>
          <w:lang w:eastAsia="en-GB"/>
          <w14:ligatures w14:val="none"/>
        </w:rPr>
      </w:pPr>
      <w:r w:rsidRPr="006A6B45">
        <w:rPr>
          <w:rFonts w:ascii="Arial" w:eastAsia="Times New Roman" w:hAnsi="Arial" w:cs="Arial"/>
          <w:color w:val="000000"/>
          <w:kern w:val="0"/>
          <w:sz w:val="28"/>
          <w:szCs w:val="28"/>
          <w:lang w:eastAsia="en-GB"/>
          <w14:ligatures w14:val="none"/>
        </w:rPr>
        <w:t>Of these home workers, around 1.5 million (or 5% of those in work) worked within their home or its grounds, while the remaining 2.7 million people (8.9% of those in work) used their home as a base but worked in different places.</w:t>
      </w:r>
    </w:p>
    <w:p w14:paraId="6D1832C7" w14:textId="77777777" w:rsidR="006A6B45" w:rsidRPr="006A6B45" w:rsidRDefault="006A6B45" w:rsidP="006A6B45">
      <w:pPr>
        <w:shd w:val="clear" w:color="auto" w:fill="FFFFFF"/>
        <w:spacing w:before="100" w:beforeAutospacing="1" w:after="100" w:afterAutospacing="1" w:line="240" w:lineRule="auto"/>
        <w:rPr>
          <w:rFonts w:ascii="Arial" w:eastAsia="Times New Roman" w:hAnsi="Arial" w:cs="Arial"/>
          <w:color w:val="000000"/>
          <w:kern w:val="0"/>
          <w:sz w:val="28"/>
          <w:szCs w:val="28"/>
          <w:lang w:eastAsia="en-GB"/>
          <w14:ligatures w14:val="none"/>
        </w:rPr>
      </w:pPr>
      <w:r w:rsidRPr="006A6B45">
        <w:rPr>
          <w:rFonts w:ascii="Arial" w:eastAsia="Times New Roman" w:hAnsi="Arial" w:cs="Arial"/>
          <w:color w:val="000000"/>
          <w:kern w:val="0"/>
          <w:sz w:val="28"/>
          <w:szCs w:val="28"/>
          <w:lang w:eastAsia="en-GB"/>
          <w14:ligatures w14:val="none"/>
        </w:rPr>
        <w:t xml:space="preserve">The number of home workers has grown by 1.3 million since 1998, at which time there had been just 2.9 million. </w:t>
      </w:r>
      <w:proofErr w:type="gramStart"/>
      <w:r w:rsidRPr="006A6B45">
        <w:rPr>
          <w:rFonts w:ascii="Arial" w:eastAsia="Times New Roman" w:hAnsi="Arial" w:cs="Arial"/>
          <w:color w:val="000000"/>
          <w:kern w:val="0"/>
          <w:sz w:val="28"/>
          <w:szCs w:val="28"/>
          <w:lang w:eastAsia="en-GB"/>
          <w14:ligatures w14:val="none"/>
        </w:rPr>
        <w:t>However</w:t>
      </w:r>
      <w:proofErr w:type="gramEnd"/>
      <w:r w:rsidRPr="006A6B45">
        <w:rPr>
          <w:rFonts w:ascii="Arial" w:eastAsia="Times New Roman" w:hAnsi="Arial" w:cs="Arial"/>
          <w:color w:val="000000"/>
          <w:kern w:val="0"/>
          <w:sz w:val="28"/>
          <w:szCs w:val="28"/>
          <w:lang w:eastAsia="en-GB"/>
          <w14:ligatures w14:val="none"/>
        </w:rPr>
        <w:t xml:space="preserve"> over the same period the number of people in work has also been rising. The percentage of those in work who work from home (also known as the home working rate) increased from 11.1% in 1998 to stand at a rate of 13.9% in January to March 2014 which is the highest than at any point in the past decade and a half.</w:t>
      </w:r>
    </w:p>
    <w:p w14:paraId="5460FD78" w14:textId="77777777" w:rsidR="006A6B45" w:rsidRPr="006A6B45" w:rsidRDefault="006A6B45" w:rsidP="006A6B45">
      <w:pPr>
        <w:shd w:val="clear" w:color="auto" w:fill="FFFFFF"/>
        <w:spacing w:after="150" w:line="240" w:lineRule="auto"/>
        <w:outlineLvl w:val="1"/>
        <w:rPr>
          <w:rFonts w:ascii="Arial" w:eastAsia="Times New Roman" w:hAnsi="Arial" w:cs="Arial"/>
          <w:b/>
          <w:bCs/>
          <w:color w:val="000000"/>
          <w:kern w:val="0"/>
          <w:sz w:val="28"/>
          <w:szCs w:val="28"/>
          <w:lang w:eastAsia="en-GB"/>
          <w14:ligatures w14:val="none"/>
        </w:rPr>
      </w:pPr>
      <w:r w:rsidRPr="006A6B45">
        <w:rPr>
          <w:rFonts w:ascii="Arial" w:eastAsia="Times New Roman" w:hAnsi="Arial" w:cs="Arial"/>
          <w:b/>
          <w:bCs/>
          <w:color w:val="000000"/>
          <w:kern w:val="0"/>
          <w:sz w:val="28"/>
          <w:szCs w:val="28"/>
          <w:lang w:eastAsia="en-GB"/>
          <w14:ligatures w14:val="none"/>
        </w:rPr>
        <w:t>Figure 1: Numbers of homeworkers in the UK, 1998 to 2014</w:t>
      </w:r>
    </w:p>
    <w:p w14:paraId="27E8C421" w14:textId="77777777" w:rsidR="006A6B45" w:rsidRPr="006A6B45" w:rsidRDefault="006A6B45" w:rsidP="006A6B45">
      <w:pPr>
        <w:shd w:val="clear" w:color="auto" w:fill="FFFFFF"/>
        <w:spacing w:after="0" w:line="240" w:lineRule="auto"/>
        <w:rPr>
          <w:rFonts w:ascii="Arial" w:eastAsia="Times New Roman" w:hAnsi="Arial" w:cs="Arial"/>
          <w:color w:val="000000"/>
          <w:kern w:val="0"/>
          <w:sz w:val="18"/>
          <w:szCs w:val="18"/>
          <w:lang w:eastAsia="en-GB"/>
          <w14:ligatures w14:val="none"/>
        </w:rPr>
      </w:pPr>
      <w:r w:rsidRPr="006A6B45">
        <w:rPr>
          <w:rFonts w:ascii="Arial" w:eastAsia="Times New Roman" w:hAnsi="Arial" w:cs="Arial"/>
          <w:noProof/>
          <w:color w:val="005582"/>
          <w:kern w:val="0"/>
          <w:sz w:val="18"/>
          <w:szCs w:val="18"/>
          <w:lang w:eastAsia="en-GB"/>
          <w14:ligatures w14:val="none"/>
        </w:rPr>
        <w:lastRenderedPageBreak/>
        <w:drawing>
          <wp:inline distT="0" distB="0" distL="0" distR="0" wp14:anchorId="6A3DDFBC" wp14:editId="62BD27A1">
            <wp:extent cx="5715000" cy="4906010"/>
            <wp:effectExtent l="0" t="0" r="0" b="8890"/>
            <wp:docPr id="5" name="Picture 6" descr="Figure 1: Numbers of homeworkers in the UK, 1998 to 201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1: Numbers of homeworkers in the UK, 1998 to 2014">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906010"/>
                    </a:xfrm>
                    <a:prstGeom prst="rect">
                      <a:avLst/>
                    </a:prstGeom>
                    <a:noFill/>
                    <a:ln>
                      <a:noFill/>
                    </a:ln>
                  </pic:spPr>
                </pic:pic>
              </a:graphicData>
            </a:graphic>
          </wp:inline>
        </w:drawing>
      </w:r>
    </w:p>
    <w:p w14:paraId="27B8F02B" w14:textId="77777777" w:rsidR="006A6B45" w:rsidRPr="006A6B45" w:rsidRDefault="006A6B45" w:rsidP="006A6B45">
      <w:pPr>
        <w:shd w:val="clear" w:color="auto" w:fill="FFFFFF"/>
        <w:spacing w:after="0" w:line="240" w:lineRule="auto"/>
        <w:rPr>
          <w:rFonts w:ascii="Arial" w:eastAsia="Times New Roman" w:hAnsi="Arial" w:cs="Arial"/>
          <w:color w:val="000000"/>
          <w:kern w:val="0"/>
          <w:sz w:val="18"/>
          <w:szCs w:val="18"/>
          <w:lang w:eastAsia="en-GB"/>
          <w14:ligatures w14:val="none"/>
        </w:rPr>
      </w:pPr>
      <w:r w:rsidRPr="006A6B45">
        <w:rPr>
          <w:rFonts w:ascii="Arial" w:eastAsia="Times New Roman" w:hAnsi="Arial" w:cs="Arial"/>
          <w:color w:val="000000"/>
          <w:kern w:val="0"/>
          <w:sz w:val="18"/>
          <w:szCs w:val="18"/>
          <w:lang w:eastAsia="en-GB"/>
          <w14:ligatures w14:val="none"/>
        </w:rPr>
        <w:t>Source: Office for National Statistics</w:t>
      </w:r>
    </w:p>
    <w:p w14:paraId="7CE274B7" w14:textId="77777777" w:rsidR="006A6B45" w:rsidRPr="006A6B45" w:rsidRDefault="006A6B45" w:rsidP="006A6B45">
      <w:pPr>
        <w:shd w:val="clear" w:color="auto" w:fill="FFFFFF"/>
        <w:spacing w:before="100" w:beforeAutospacing="1" w:after="100" w:afterAutospacing="1" w:line="240" w:lineRule="auto"/>
        <w:outlineLvl w:val="2"/>
        <w:rPr>
          <w:rFonts w:ascii="Arial" w:eastAsia="Times New Roman" w:hAnsi="Arial" w:cs="Arial"/>
          <w:b/>
          <w:bCs/>
          <w:color w:val="000000"/>
          <w:kern w:val="0"/>
          <w:sz w:val="28"/>
          <w:szCs w:val="28"/>
          <w:lang w:eastAsia="en-GB"/>
          <w14:ligatures w14:val="none"/>
        </w:rPr>
      </w:pPr>
      <w:r w:rsidRPr="006A6B45">
        <w:rPr>
          <w:rFonts w:ascii="Arial" w:eastAsia="Times New Roman" w:hAnsi="Arial" w:cs="Arial"/>
          <w:b/>
          <w:bCs/>
          <w:color w:val="000000"/>
          <w:kern w:val="0"/>
          <w:sz w:val="28"/>
          <w:szCs w:val="28"/>
          <w:lang w:eastAsia="en-GB"/>
          <w14:ligatures w14:val="none"/>
        </w:rPr>
        <w:t xml:space="preserve">Download </w:t>
      </w:r>
      <w:proofErr w:type="gramStart"/>
      <w:r w:rsidRPr="006A6B45">
        <w:rPr>
          <w:rFonts w:ascii="Arial" w:eastAsia="Times New Roman" w:hAnsi="Arial" w:cs="Arial"/>
          <w:b/>
          <w:bCs/>
          <w:color w:val="000000"/>
          <w:kern w:val="0"/>
          <w:sz w:val="28"/>
          <w:szCs w:val="28"/>
          <w:lang w:eastAsia="en-GB"/>
          <w14:ligatures w14:val="none"/>
        </w:rPr>
        <w:t>chart</w:t>
      </w:r>
      <w:proofErr w:type="gramEnd"/>
    </w:p>
    <w:p w14:paraId="16A47B2E" w14:textId="77777777" w:rsidR="006A6B45" w:rsidRPr="006A6B45" w:rsidRDefault="006A6B45" w:rsidP="006A6B45">
      <w:pPr>
        <w:numPr>
          <w:ilvl w:val="0"/>
          <w:numId w:val="2"/>
        </w:numPr>
        <w:shd w:val="clear" w:color="auto" w:fill="FFFFFF"/>
        <w:spacing w:before="100" w:beforeAutospacing="1" w:after="100" w:afterAutospacing="1" w:line="240" w:lineRule="auto"/>
        <w:ind w:left="1395"/>
        <w:rPr>
          <w:rFonts w:ascii="Arial" w:eastAsia="Times New Roman" w:hAnsi="Arial" w:cs="Arial"/>
          <w:color w:val="000000"/>
          <w:kern w:val="0"/>
          <w:sz w:val="28"/>
          <w:szCs w:val="28"/>
          <w:lang w:eastAsia="en-GB"/>
          <w14:ligatures w14:val="none"/>
        </w:rPr>
      </w:pPr>
      <w:hyperlink r:id="rId9" w:history="1">
        <w:r w:rsidRPr="006A6B45">
          <w:rPr>
            <w:rFonts w:ascii="Arial" w:eastAsia="Times New Roman" w:hAnsi="Arial" w:cs="Arial"/>
            <w:color w:val="005582"/>
            <w:kern w:val="0"/>
            <w:sz w:val="28"/>
            <w:szCs w:val="28"/>
            <w:u w:val="single"/>
            <w:lang w:eastAsia="en-GB"/>
            <w14:ligatures w14:val="none"/>
          </w:rPr>
          <w:t>XLS format</w:t>
        </w:r>
      </w:hyperlink>
      <w:r w:rsidRPr="006A6B45">
        <w:rPr>
          <w:rFonts w:ascii="Arial" w:eastAsia="Times New Roman" w:hAnsi="Arial" w:cs="Arial"/>
          <w:color w:val="000000"/>
          <w:kern w:val="0"/>
          <w:sz w:val="28"/>
          <w:szCs w:val="28"/>
          <w:lang w:eastAsia="en-GB"/>
          <w14:ligatures w14:val="none"/>
        </w:rPr>
        <w:br/>
        <w:t xml:space="preserve">(24.5 </w:t>
      </w:r>
      <w:proofErr w:type="spellStart"/>
      <w:r w:rsidRPr="006A6B45">
        <w:rPr>
          <w:rFonts w:ascii="Arial" w:eastAsia="Times New Roman" w:hAnsi="Arial" w:cs="Arial"/>
          <w:color w:val="000000"/>
          <w:kern w:val="0"/>
          <w:sz w:val="28"/>
          <w:szCs w:val="28"/>
          <w:lang w:eastAsia="en-GB"/>
          <w14:ligatures w14:val="none"/>
        </w:rPr>
        <w:t>Kb</w:t>
      </w:r>
      <w:proofErr w:type="spellEnd"/>
      <w:r w:rsidRPr="006A6B45">
        <w:rPr>
          <w:rFonts w:ascii="Arial" w:eastAsia="Times New Roman" w:hAnsi="Arial" w:cs="Arial"/>
          <w:color w:val="000000"/>
          <w:kern w:val="0"/>
          <w:sz w:val="28"/>
          <w:szCs w:val="28"/>
          <w:lang w:eastAsia="en-GB"/>
          <w14:ligatures w14:val="none"/>
        </w:rPr>
        <w:t>)</w:t>
      </w:r>
    </w:p>
    <w:p w14:paraId="3F16605D" w14:textId="77777777" w:rsidR="006A6B45" w:rsidRPr="006A6B45" w:rsidRDefault="006A6B45" w:rsidP="006A6B45">
      <w:pPr>
        <w:shd w:val="clear" w:color="auto" w:fill="FFFFFF"/>
        <w:spacing w:before="100" w:beforeAutospacing="1" w:after="100" w:afterAutospacing="1" w:line="240" w:lineRule="auto"/>
        <w:rPr>
          <w:rFonts w:ascii="Arial" w:eastAsia="Times New Roman" w:hAnsi="Arial" w:cs="Arial"/>
          <w:color w:val="000000"/>
          <w:kern w:val="0"/>
          <w:sz w:val="28"/>
          <w:szCs w:val="28"/>
          <w:lang w:eastAsia="en-GB"/>
          <w14:ligatures w14:val="none"/>
        </w:rPr>
      </w:pPr>
      <w:r w:rsidRPr="006A6B45">
        <w:rPr>
          <w:rFonts w:ascii="Arial" w:eastAsia="Times New Roman" w:hAnsi="Arial" w:cs="Arial"/>
          <w:color w:val="000000"/>
          <w:kern w:val="0"/>
          <w:sz w:val="28"/>
          <w:szCs w:val="28"/>
          <w:lang w:eastAsia="en-GB"/>
          <w14:ligatures w14:val="none"/>
        </w:rPr>
        <w:t>The jobs that home workers carry out tend to be concentrated in higher skilled roles than those of people who do not work from home. Of the 4.2 million home workers in 2014, 14.8% were working as managers or senior officials, 35.2% were professionals or associate professionals and a further 23.5% were working within skilled trades. This meant that almost three quarters (73.4%) of home workers were in some of the highest skilled roles in the economy. Earnings for home workers reflect this concentration in high-skill roles, the median being £13.23 an hour compared with £10.50 an hour for other workers. For non-home workers just over a half (51.9%) were among the same occupational groups. The most common roles for male home workers were among construction occupations, while for women the top roles included childminding and care work.</w:t>
      </w:r>
    </w:p>
    <w:p w14:paraId="587BA2A8" w14:textId="77777777" w:rsidR="006A6B45" w:rsidRPr="006A6B45" w:rsidRDefault="006A6B45" w:rsidP="006A6B45">
      <w:pPr>
        <w:shd w:val="clear" w:color="auto" w:fill="FFFFFF"/>
        <w:spacing w:before="100" w:beforeAutospacing="1" w:after="100" w:afterAutospacing="1" w:line="240" w:lineRule="auto"/>
        <w:rPr>
          <w:rFonts w:ascii="Arial" w:eastAsia="Times New Roman" w:hAnsi="Arial" w:cs="Arial"/>
          <w:color w:val="000000"/>
          <w:kern w:val="0"/>
          <w:sz w:val="28"/>
          <w:szCs w:val="28"/>
          <w:lang w:eastAsia="en-GB"/>
          <w14:ligatures w14:val="none"/>
        </w:rPr>
      </w:pPr>
      <w:r w:rsidRPr="006A6B45">
        <w:rPr>
          <w:rFonts w:ascii="Arial" w:eastAsia="Times New Roman" w:hAnsi="Arial" w:cs="Arial"/>
          <w:color w:val="000000"/>
          <w:kern w:val="0"/>
          <w:sz w:val="28"/>
          <w:szCs w:val="28"/>
          <w:lang w:eastAsia="en-GB"/>
          <w14:ligatures w14:val="none"/>
        </w:rPr>
        <w:lastRenderedPageBreak/>
        <w:t>People working from home are more likely to be self-employed than non-home workers. In January to March 2014, around 7% of non-home workers were self-employed compared with 63% of home workers. Around 34% of home workers were employees of an organisation, with the small remainder being people who worked unpaid in the family business.</w:t>
      </w:r>
    </w:p>
    <w:p w14:paraId="1A1BDCD4" w14:textId="77777777" w:rsidR="006A6B45" w:rsidRPr="006A6B45" w:rsidRDefault="006A6B45" w:rsidP="006A6B45">
      <w:pPr>
        <w:shd w:val="clear" w:color="auto" w:fill="FFFFFF"/>
        <w:spacing w:before="100" w:beforeAutospacing="1" w:after="100" w:afterAutospacing="1" w:line="240" w:lineRule="auto"/>
        <w:rPr>
          <w:rFonts w:ascii="Arial" w:eastAsia="Times New Roman" w:hAnsi="Arial" w:cs="Arial"/>
          <w:color w:val="000000"/>
          <w:kern w:val="0"/>
          <w:sz w:val="18"/>
          <w:szCs w:val="18"/>
          <w:lang w:eastAsia="en-GB"/>
          <w14:ligatures w14:val="none"/>
        </w:rPr>
      </w:pPr>
      <w:r w:rsidRPr="006A6B45">
        <w:rPr>
          <w:rFonts w:ascii="Arial" w:eastAsia="Times New Roman" w:hAnsi="Arial" w:cs="Arial"/>
          <w:color w:val="000000"/>
          <w:kern w:val="0"/>
          <w:sz w:val="28"/>
          <w:szCs w:val="28"/>
          <w:lang w:eastAsia="en-GB"/>
          <w14:ligatures w14:val="none"/>
        </w:rPr>
        <w:t xml:space="preserve">Working from home is more prevalent among individuals who are older. For those aged 16 to 24 the home working rate stood at 5.1%, compared with 13.9% for all workers, while for those aged 65 and over, it was 38.3%. With the exception of the oldest age group (65 and over), home workers were more likely to use their home as a base rather than work within the grounds of their home. For the oldest age </w:t>
      </w:r>
      <w:proofErr w:type="gramStart"/>
      <w:r w:rsidRPr="006A6B45">
        <w:rPr>
          <w:rFonts w:ascii="Arial" w:eastAsia="Times New Roman" w:hAnsi="Arial" w:cs="Arial"/>
          <w:color w:val="000000"/>
          <w:kern w:val="0"/>
          <w:sz w:val="28"/>
          <w:szCs w:val="28"/>
          <w:lang w:eastAsia="en-GB"/>
          <w14:ligatures w14:val="none"/>
        </w:rPr>
        <w:t>group</w:t>
      </w:r>
      <w:proofErr w:type="gramEnd"/>
      <w:r w:rsidRPr="006A6B45">
        <w:rPr>
          <w:rFonts w:ascii="Arial" w:eastAsia="Times New Roman" w:hAnsi="Arial" w:cs="Arial"/>
          <w:color w:val="000000"/>
          <w:kern w:val="0"/>
          <w:sz w:val="28"/>
          <w:szCs w:val="28"/>
          <w:lang w:eastAsia="en-GB"/>
          <w14:ligatures w14:val="none"/>
        </w:rPr>
        <w:t xml:space="preserve"> they are less likely to be working within construction type roles which reduce the numbers working from home and using it a base when compared to those who work within their grounds</w:t>
      </w:r>
      <w:r w:rsidRPr="006A6B45">
        <w:rPr>
          <w:rFonts w:ascii="Arial" w:eastAsia="Times New Roman" w:hAnsi="Arial" w:cs="Arial"/>
          <w:color w:val="000000"/>
          <w:kern w:val="0"/>
          <w:sz w:val="18"/>
          <w:szCs w:val="18"/>
          <w:lang w:eastAsia="en-GB"/>
          <w14:ligatures w14:val="none"/>
        </w:rPr>
        <w:t>.</w:t>
      </w:r>
    </w:p>
    <w:p w14:paraId="619ABDA6" w14:textId="77777777" w:rsidR="006A6B45" w:rsidRDefault="006A6B45" w:rsidP="006A6B45">
      <w:pPr>
        <w:shd w:val="clear" w:color="auto" w:fill="FFFFFF"/>
        <w:spacing w:before="100" w:beforeAutospacing="1" w:after="100" w:afterAutospacing="1" w:line="240" w:lineRule="auto"/>
        <w:rPr>
          <w:rFonts w:ascii="Arial" w:eastAsia="Times New Roman" w:hAnsi="Arial" w:cs="Arial"/>
          <w:color w:val="000000"/>
          <w:kern w:val="0"/>
          <w:sz w:val="28"/>
          <w:szCs w:val="28"/>
          <w:lang w:eastAsia="en-GB"/>
          <w14:ligatures w14:val="none"/>
        </w:rPr>
      </w:pPr>
      <w:r w:rsidRPr="006A6B45">
        <w:rPr>
          <w:rFonts w:ascii="Arial" w:eastAsia="Times New Roman" w:hAnsi="Arial" w:cs="Arial"/>
          <w:color w:val="000000"/>
          <w:kern w:val="0"/>
          <w:sz w:val="28"/>
          <w:szCs w:val="28"/>
          <w:lang w:eastAsia="en-GB"/>
          <w14:ligatures w14:val="none"/>
        </w:rPr>
        <w:t xml:space="preserve">Across 2013 as a whole, the </w:t>
      </w:r>
      <w:proofErr w:type="gramStart"/>
      <w:r w:rsidRPr="006A6B45">
        <w:rPr>
          <w:rFonts w:ascii="Arial" w:eastAsia="Times New Roman" w:hAnsi="Arial" w:cs="Arial"/>
          <w:color w:val="000000"/>
          <w:kern w:val="0"/>
          <w:sz w:val="28"/>
          <w:szCs w:val="28"/>
          <w:lang w:eastAsia="en-GB"/>
          <w14:ligatures w14:val="none"/>
        </w:rPr>
        <w:t>South West</w:t>
      </w:r>
      <w:proofErr w:type="gramEnd"/>
      <w:r w:rsidRPr="006A6B45">
        <w:rPr>
          <w:rFonts w:ascii="Arial" w:eastAsia="Times New Roman" w:hAnsi="Arial" w:cs="Arial"/>
          <w:color w:val="000000"/>
          <w:kern w:val="0"/>
          <w:sz w:val="28"/>
          <w:szCs w:val="28"/>
          <w:lang w:eastAsia="en-GB"/>
          <w14:ligatures w14:val="none"/>
        </w:rPr>
        <w:t xml:space="preserve"> was the region of Great Britain with the highest home working rate at 17.1%, while the lowest rate was in Scotland at 10.7%. As at the 2011 Census, the local area with the highest home working rate across England and Wales was </w:t>
      </w:r>
      <w:proofErr w:type="gramStart"/>
      <w:r w:rsidRPr="006A6B45">
        <w:rPr>
          <w:rFonts w:ascii="Arial" w:eastAsia="Times New Roman" w:hAnsi="Arial" w:cs="Arial"/>
          <w:color w:val="000000"/>
          <w:kern w:val="0"/>
          <w:sz w:val="28"/>
          <w:szCs w:val="28"/>
          <w:lang w:eastAsia="en-GB"/>
          <w14:ligatures w14:val="none"/>
        </w:rPr>
        <w:t>West</w:t>
      </w:r>
      <w:proofErr w:type="gramEnd"/>
      <w:r w:rsidRPr="006A6B45">
        <w:rPr>
          <w:rFonts w:ascii="Arial" w:eastAsia="Times New Roman" w:hAnsi="Arial" w:cs="Arial"/>
          <w:color w:val="000000"/>
          <w:kern w:val="0"/>
          <w:sz w:val="28"/>
          <w:szCs w:val="28"/>
          <w:lang w:eastAsia="en-GB"/>
          <w14:ligatures w14:val="none"/>
        </w:rPr>
        <w:t xml:space="preserve"> </w:t>
      </w:r>
    </w:p>
    <w:p w14:paraId="39F363AB" w14:textId="38FAC167" w:rsidR="006A6B45" w:rsidRPr="006A6B45" w:rsidRDefault="006A6B45" w:rsidP="006A6B45">
      <w:pPr>
        <w:shd w:val="clear" w:color="auto" w:fill="FFFFFF"/>
        <w:spacing w:before="100" w:beforeAutospacing="1" w:after="100" w:afterAutospacing="1" w:line="240" w:lineRule="auto"/>
        <w:rPr>
          <w:rFonts w:ascii="Arial" w:eastAsia="Times New Roman" w:hAnsi="Arial" w:cs="Arial"/>
          <w:color w:val="000000"/>
          <w:kern w:val="0"/>
          <w:sz w:val="28"/>
          <w:szCs w:val="28"/>
          <w:lang w:eastAsia="en-GB"/>
          <w14:ligatures w14:val="none"/>
        </w:rPr>
      </w:pPr>
      <w:r>
        <w:rPr>
          <w:rFonts w:ascii="Arial" w:eastAsia="Times New Roman" w:hAnsi="Arial" w:cs="Arial"/>
          <w:color w:val="000000"/>
          <w:kern w:val="0"/>
          <w:sz w:val="28"/>
          <w:szCs w:val="28"/>
          <w:lang w:eastAsia="en-GB"/>
          <w14:ligatures w14:val="none"/>
        </w:rPr>
        <w:t>S</w:t>
      </w:r>
      <w:r w:rsidRPr="006A6B45">
        <w:rPr>
          <w:rFonts w:ascii="Arial" w:eastAsia="Times New Roman" w:hAnsi="Arial" w:cs="Arial"/>
          <w:color w:val="000000"/>
          <w:kern w:val="0"/>
          <w:sz w:val="28"/>
          <w:szCs w:val="28"/>
          <w:lang w:eastAsia="en-GB"/>
          <w14:ligatures w14:val="none"/>
        </w:rPr>
        <w:t>omerset, at 25.7%, while the lowest was Kingston upon Hull, at 5.2%.</w:t>
      </w:r>
    </w:p>
    <w:p w14:paraId="02EDEB06" w14:textId="77777777" w:rsidR="006A6B45" w:rsidRDefault="006A6B45" w:rsidP="006A6B45">
      <w:pPr>
        <w:shd w:val="clear" w:color="auto" w:fill="FFFFFF"/>
        <w:spacing w:after="150" w:line="240" w:lineRule="auto"/>
        <w:outlineLvl w:val="1"/>
        <w:rPr>
          <w:rFonts w:ascii="Arial" w:eastAsia="Times New Roman" w:hAnsi="Arial" w:cs="Arial"/>
          <w:b/>
          <w:bCs/>
          <w:color w:val="000000"/>
          <w:kern w:val="0"/>
          <w:sz w:val="28"/>
          <w:szCs w:val="28"/>
          <w:lang w:eastAsia="en-GB"/>
          <w14:ligatures w14:val="none"/>
        </w:rPr>
      </w:pPr>
    </w:p>
    <w:p w14:paraId="3CBCEF56" w14:textId="77777777" w:rsidR="006A6B45" w:rsidRDefault="006A6B45" w:rsidP="006A6B45">
      <w:pPr>
        <w:shd w:val="clear" w:color="auto" w:fill="FFFFFF"/>
        <w:spacing w:after="150" w:line="240" w:lineRule="auto"/>
        <w:outlineLvl w:val="1"/>
        <w:rPr>
          <w:rFonts w:ascii="Arial" w:eastAsia="Times New Roman" w:hAnsi="Arial" w:cs="Arial"/>
          <w:b/>
          <w:bCs/>
          <w:color w:val="000000"/>
          <w:kern w:val="0"/>
          <w:sz w:val="28"/>
          <w:szCs w:val="28"/>
          <w:lang w:eastAsia="en-GB"/>
          <w14:ligatures w14:val="none"/>
        </w:rPr>
      </w:pPr>
    </w:p>
    <w:p w14:paraId="402EAABD" w14:textId="77777777" w:rsidR="006A6B45" w:rsidRDefault="006A6B45" w:rsidP="006A6B45">
      <w:pPr>
        <w:shd w:val="clear" w:color="auto" w:fill="FFFFFF"/>
        <w:spacing w:after="150" w:line="240" w:lineRule="auto"/>
        <w:outlineLvl w:val="1"/>
        <w:rPr>
          <w:rFonts w:ascii="Arial" w:eastAsia="Times New Roman" w:hAnsi="Arial" w:cs="Arial"/>
          <w:b/>
          <w:bCs/>
          <w:color w:val="000000"/>
          <w:kern w:val="0"/>
          <w:sz w:val="28"/>
          <w:szCs w:val="28"/>
          <w:lang w:eastAsia="en-GB"/>
          <w14:ligatures w14:val="none"/>
        </w:rPr>
      </w:pPr>
    </w:p>
    <w:p w14:paraId="406F9C74" w14:textId="77777777" w:rsidR="006A6B45" w:rsidRDefault="006A6B45" w:rsidP="006A6B45">
      <w:pPr>
        <w:shd w:val="clear" w:color="auto" w:fill="FFFFFF"/>
        <w:spacing w:after="150" w:line="240" w:lineRule="auto"/>
        <w:outlineLvl w:val="1"/>
        <w:rPr>
          <w:rFonts w:ascii="Arial" w:eastAsia="Times New Roman" w:hAnsi="Arial" w:cs="Arial"/>
          <w:b/>
          <w:bCs/>
          <w:color w:val="000000"/>
          <w:kern w:val="0"/>
          <w:sz w:val="28"/>
          <w:szCs w:val="28"/>
          <w:lang w:eastAsia="en-GB"/>
          <w14:ligatures w14:val="none"/>
        </w:rPr>
      </w:pPr>
    </w:p>
    <w:p w14:paraId="52812815" w14:textId="77777777" w:rsidR="006A6B45" w:rsidRDefault="006A6B45" w:rsidP="006A6B45">
      <w:pPr>
        <w:shd w:val="clear" w:color="auto" w:fill="FFFFFF"/>
        <w:spacing w:after="150" w:line="240" w:lineRule="auto"/>
        <w:outlineLvl w:val="1"/>
        <w:rPr>
          <w:rFonts w:ascii="Arial" w:eastAsia="Times New Roman" w:hAnsi="Arial" w:cs="Arial"/>
          <w:b/>
          <w:bCs/>
          <w:color w:val="000000"/>
          <w:kern w:val="0"/>
          <w:sz w:val="28"/>
          <w:szCs w:val="28"/>
          <w:lang w:eastAsia="en-GB"/>
          <w14:ligatures w14:val="none"/>
        </w:rPr>
      </w:pPr>
    </w:p>
    <w:p w14:paraId="48996533" w14:textId="77777777" w:rsidR="006A6B45" w:rsidRDefault="006A6B45" w:rsidP="006A6B45">
      <w:pPr>
        <w:shd w:val="clear" w:color="auto" w:fill="FFFFFF"/>
        <w:spacing w:after="150" w:line="240" w:lineRule="auto"/>
        <w:outlineLvl w:val="1"/>
        <w:rPr>
          <w:rFonts w:ascii="Arial" w:eastAsia="Times New Roman" w:hAnsi="Arial" w:cs="Arial"/>
          <w:b/>
          <w:bCs/>
          <w:color w:val="000000"/>
          <w:kern w:val="0"/>
          <w:sz w:val="28"/>
          <w:szCs w:val="28"/>
          <w:lang w:eastAsia="en-GB"/>
          <w14:ligatures w14:val="none"/>
        </w:rPr>
      </w:pPr>
    </w:p>
    <w:p w14:paraId="15B54CAC" w14:textId="77777777" w:rsidR="006A6B45" w:rsidRDefault="006A6B45" w:rsidP="006A6B45">
      <w:pPr>
        <w:shd w:val="clear" w:color="auto" w:fill="FFFFFF"/>
        <w:spacing w:after="150" w:line="240" w:lineRule="auto"/>
        <w:outlineLvl w:val="1"/>
        <w:rPr>
          <w:rFonts w:ascii="Arial" w:eastAsia="Times New Roman" w:hAnsi="Arial" w:cs="Arial"/>
          <w:b/>
          <w:bCs/>
          <w:color w:val="000000"/>
          <w:kern w:val="0"/>
          <w:sz w:val="28"/>
          <w:szCs w:val="28"/>
          <w:lang w:eastAsia="en-GB"/>
          <w14:ligatures w14:val="none"/>
        </w:rPr>
      </w:pPr>
    </w:p>
    <w:p w14:paraId="45825C74" w14:textId="77777777" w:rsidR="006A6B45" w:rsidRDefault="006A6B45" w:rsidP="006A6B45">
      <w:pPr>
        <w:shd w:val="clear" w:color="auto" w:fill="FFFFFF"/>
        <w:spacing w:after="150" w:line="240" w:lineRule="auto"/>
        <w:outlineLvl w:val="1"/>
        <w:rPr>
          <w:rFonts w:ascii="Arial" w:eastAsia="Times New Roman" w:hAnsi="Arial" w:cs="Arial"/>
          <w:b/>
          <w:bCs/>
          <w:color w:val="000000"/>
          <w:kern w:val="0"/>
          <w:sz w:val="28"/>
          <w:szCs w:val="28"/>
          <w:lang w:eastAsia="en-GB"/>
          <w14:ligatures w14:val="none"/>
        </w:rPr>
      </w:pPr>
    </w:p>
    <w:p w14:paraId="68F0C5F0" w14:textId="77777777" w:rsidR="006A6B45" w:rsidRDefault="006A6B45" w:rsidP="006A6B45">
      <w:pPr>
        <w:shd w:val="clear" w:color="auto" w:fill="FFFFFF"/>
        <w:spacing w:after="150" w:line="240" w:lineRule="auto"/>
        <w:outlineLvl w:val="1"/>
        <w:rPr>
          <w:rFonts w:ascii="Arial" w:eastAsia="Times New Roman" w:hAnsi="Arial" w:cs="Arial"/>
          <w:b/>
          <w:bCs/>
          <w:color w:val="000000"/>
          <w:kern w:val="0"/>
          <w:sz w:val="28"/>
          <w:szCs w:val="28"/>
          <w:lang w:eastAsia="en-GB"/>
          <w14:ligatures w14:val="none"/>
        </w:rPr>
      </w:pPr>
    </w:p>
    <w:p w14:paraId="5EDADABA" w14:textId="77777777" w:rsidR="006A6B45" w:rsidRDefault="006A6B45" w:rsidP="006A6B45">
      <w:pPr>
        <w:shd w:val="clear" w:color="auto" w:fill="FFFFFF"/>
        <w:spacing w:after="150" w:line="240" w:lineRule="auto"/>
        <w:outlineLvl w:val="1"/>
        <w:rPr>
          <w:rFonts w:ascii="Arial" w:eastAsia="Times New Roman" w:hAnsi="Arial" w:cs="Arial"/>
          <w:b/>
          <w:bCs/>
          <w:color w:val="000000"/>
          <w:kern w:val="0"/>
          <w:sz w:val="28"/>
          <w:szCs w:val="28"/>
          <w:lang w:eastAsia="en-GB"/>
          <w14:ligatures w14:val="none"/>
        </w:rPr>
      </w:pPr>
    </w:p>
    <w:p w14:paraId="3A04CBB6" w14:textId="77777777" w:rsidR="006A6B45" w:rsidRDefault="006A6B45" w:rsidP="006A6B45">
      <w:pPr>
        <w:shd w:val="clear" w:color="auto" w:fill="FFFFFF"/>
        <w:spacing w:after="150" w:line="240" w:lineRule="auto"/>
        <w:outlineLvl w:val="1"/>
        <w:rPr>
          <w:rFonts w:ascii="Arial" w:eastAsia="Times New Roman" w:hAnsi="Arial" w:cs="Arial"/>
          <w:b/>
          <w:bCs/>
          <w:color w:val="000000"/>
          <w:kern w:val="0"/>
          <w:sz w:val="28"/>
          <w:szCs w:val="28"/>
          <w:lang w:eastAsia="en-GB"/>
          <w14:ligatures w14:val="none"/>
        </w:rPr>
      </w:pPr>
    </w:p>
    <w:p w14:paraId="7710108E" w14:textId="77777777" w:rsidR="006A6B45" w:rsidRDefault="006A6B45" w:rsidP="006A6B45">
      <w:pPr>
        <w:shd w:val="clear" w:color="auto" w:fill="FFFFFF"/>
        <w:spacing w:after="150" w:line="240" w:lineRule="auto"/>
        <w:outlineLvl w:val="1"/>
        <w:rPr>
          <w:rFonts w:ascii="Arial" w:eastAsia="Times New Roman" w:hAnsi="Arial" w:cs="Arial"/>
          <w:b/>
          <w:bCs/>
          <w:color w:val="000000"/>
          <w:kern w:val="0"/>
          <w:sz w:val="28"/>
          <w:szCs w:val="28"/>
          <w:lang w:eastAsia="en-GB"/>
          <w14:ligatures w14:val="none"/>
        </w:rPr>
      </w:pPr>
    </w:p>
    <w:p w14:paraId="5558E956" w14:textId="77777777" w:rsidR="006A6B45" w:rsidRDefault="006A6B45" w:rsidP="006A6B45">
      <w:pPr>
        <w:shd w:val="clear" w:color="auto" w:fill="FFFFFF"/>
        <w:spacing w:after="150" w:line="240" w:lineRule="auto"/>
        <w:outlineLvl w:val="1"/>
        <w:rPr>
          <w:rFonts w:ascii="Arial" w:eastAsia="Times New Roman" w:hAnsi="Arial" w:cs="Arial"/>
          <w:b/>
          <w:bCs/>
          <w:color w:val="000000"/>
          <w:kern w:val="0"/>
          <w:sz w:val="28"/>
          <w:szCs w:val="28"/>
          <w:lang w:eastAsia="en-GB"/>
          <w14:ligatures w14:val="none"/>
        </w:rPr>
      </w:pPr>
    </w:p>
    <w:p w14:paraId="494368DE" w14:textId="3E581CE2" w:rsidR="006A6B45" w:rsidRPr="006A6B45" w:rsidRDefault="006A6B45" w:rsidP="006A6B45">
      <w:pPr>
        <w:shd w:val="clear" w:color="auto" w:fill="FFFFFF"/>
        <w:spacing w:after="150" w:line="240" w:lineRule="auto"/>
        <w:outlineLvl w:val="1"/>
        <w:rPr>
          <w:rFonts w:ascii="Arial" w:eastAsia="Times New Roman" w:hAnsi="Arial" w:cs="Arial"/>
          <w:b/>
          <w:bCs/>
          <w:color w:val="000000"/>
          <w:kern w:val="0"/>
          <w:sz w:val="28"/>
          <w:szCs w:val="28"/>
          <w:lang w:eastAsia="en-GB"/>
          <w14:ligatures w14:val="none"/>
        </w:rPr>
      </w:pPr>
      <w:r w:rsidRPr="006A6B45">
        <w:rPr>
          <w:rFonts w:ascii="Arial" w:eastAsia="Times New Roman" w:hAnsi="Arial" w:cs="Arial"/>
          <w:b/>
          <w:bCs/>
          <w:color w:val="000000"/>
          <w:kern w:val="0"/>
          <w:sz w:val="28"/>
          <w:szCs w:val="28"/>
          <w:lang w:eastAsia="en-GB"/>
          <w14:ligatures w14:val="none"/>
        </w:rPr>
        <w:lastRenderedPageBreak/>
        <w:t>Figure 2: Home working rates by regions across Great Britain</w:t>
      </w:r>
    </w:p>
    <w:p w14:paraId="3A1AED02" w14:textId="77777777" w:rsidR="006A6B45" w:rsidRPr="006A6B45" w:rsidRDefault="006A6B45" w:rsidP="006A6B45">
      <w:pPr>
        <w:shd w:val="clear" w:color="auto" w:fill="FFFFFF"/>
        <w:spacing w:after="0" w:line="240" w:lineRule="auto"/>
        <w:rPr>
          <w:rFonts w:ascii="Arial" w:eastAsia="Times New Roman" w:hAnsi="Arial" w:cs="Arial"/>
          <w:color w:val="000000"/>
          <w:kern w:val="0"/>
          <w:sz w:val="18"/>
          <w:szCs w:val="18"/>
          <w:lang w:eastAsia="en-GB"/>
          <w14:ligatures w14:val="none"/>
        </w:rPr>
      </w:pPr>
      <w:r w:rsidRPr="006A6B45">
        <w:rPr>
          <w:rFonts w:ascii="Arial" w:eastAsia="Times New Roman" w:hAnsi="Arial" w:cs="Arial"/>
          <w:noProof/>
          <w:color w:val="000000"/>
          <w:kern w:val="0"/>
          <w:sz w:val="18"/>
          <w:szCs w:val="18"/>
          <w:lang w:eastAsia="en-GB"/>
          <w14:ligatures w14:val="none"/>
        </w:rPr>
        <w:drawing>
          <wp:inline distT="0" distB="0" distL="0" distR="0" wp14:anchorId="0DA640C1" wp14:editId="3E0EE9DB">
            <wp:extent cx="5715000" cy="4272915"/>
            <wp:effectExtent l="0" t="0" r="0" b="0"/>
            <wp:docPr id="6" name="Picture 5" descr="Figure 2: Home working rates by regions across Great Britai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2: Home working rates by regions across Great Britai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272915"/>
                    </a:xfrm>
                    <a:prstGeom prst="rect">
                      <a:avLst/>
                    </a:prstGeom>
                    <a:noFill/>
                    <a:ln>
                      <a:noFill/>
                    </a:ln>
                  </pic:spPr>
                </pic:pic>
              </a:graphicData>
            </a:graphic>
          </wp:inline>
        </w:drawing>
      </w:r>
    </w:p>
    <w:p w14:paraId="36032FD5" w14:textId="77777777" w:rsidR="006A6B45" w:rsidRPr="006A6B45" w:rsidRDefault="006A6B45" w:rsidP="006A6B45">
      <w:pPr>
        <w:shd w:val="clear" w:color="auto" w:fill="FFFFFF"/>
        <w:spacing w:after="0" w:line="240" w:lineRule="auto"/>
        <w:rPr>
          <w:rFonts w:ascii="Arial" w:eastAsia="Times New Roman" w:hAnsi="Arial" w:cs="Arial"/>
          <w:color w:val="000000"/>
          <w:kern w:val="0"/>
          <w:sz w:val="18"/>
          <w:szCs w:val="18"/>
          <w:lang w:eastAsia="en-GB"/>
          <w14:ligatures w14:val="none"/>
        </w:rPr>
      </w:pPr>
      <w:r w:rsidRPr="006A6B45">
        <w:rPr>
          <w:rFonts w:ascii="Arial" w:eastAsia="Times New Roman" w:hAnsi="Arial" w:cs="Arial"/>
          <w:color w:val="000000"/>
          <w:kern w:val="0"/>
          <w:sz w:val="18"/>
          <w:szCs w:val="18"/>
          <w:lang w:eastAsia="en-GB"/>
          <w14:ligatures w14:val="none"/>
        </w:rPr>
        <w:t>Source: Office for National Statistics</w:t>
      </w:r>
    </w:p>
    <w:p w14:paraId="334ECA82" w14:textId="77777777" w:rsidR="006A6B45" w:rsidRPr="006A6B45" w:rsidRDefault="006A6B45" w:rsidP="006A6B45">
      <w:pPr>
        <w:shd w:val="clear" w:color="auto" w:fill="FFFFFF"/>
        <w:spacing w:before="100" w:beforeAutospacing="1" w:after="100" w:afterAutospacing="1" w:line="240" w:lineRule="auto"/>
        <w:outlineLvl w:val="2"/>
        <w:rPr>
          <w:rFonts w:ascii="Arial" w:eastAsia="Times New Roman" w:hAnsi="Arial" w:cs="Arial"/>
          <w:b/>
          <w:bCs/>
          <w:color w:val="000000"/>
          <w:kern w:val="0"/>
          <w:sz w:val="20"/>
          <w:szCs w:val="20"/>
          <w:lang w:eastAsia="en-GB"/>
          <w14:ligatures w14:val="none"/>
        </w:rPr>
      </w:pPr>
      <w:r w:rsidRPr="006A6B45">
        <w:rPr>
          <w:rFonts w:ascii="Arial" w:eastAsia="Times New Roman" w:hAnsi="Arial" w:cs="Arial"/>
          <w:b/>
          <w:bCs/>
          <w:color w:val="000000"/>
          <w:kern w:val="0"/>
          <w:sz w:val="20"/>
          <w:szCs w:val="20"/>
          <w:lang w:eastAsia="en-GB"/>
          <w14:ligatures w14:val="none"/>
        </w:rPr>
        <w:t xml:space="preserve">Download </w:t>
      </w:r>
      <w:proofErr w:type="gramStart"/>
      <w:r w:rsidRPr="006A6B45">
        <w:rPr>
          <w:rFonts w:ascii="Arial" w:eastAsia="Times New Roman" w:hAnsi="Arial" w:cs="Arial"/>
          <w:b/>
          <w:bCs/>
          <w:color w:val="000000"/>
          <w:kern w:val="0"/>
          <w:sz w:val="20"/>
          <w:szCs w:val="20"/>
          <w:lang w:eastAsia="en-GB"/>
          <w14:ligatures w14:val="none"/>
        </w:rPr>
        <w:t>chart</w:t>
      </w:r>
      <w:proofErr w:type="gramEnd"/>
    </w:p>
    <w:p w14:paraId="70BBA5AE" w14:textId="77777777" w:rsidR="006A6B45" w:rsidRPr="006A6B45" w:rsidRDefault="006A6B45" w:rsidP="006A6B45">
      <w:pPr>
        <w:numPr>
          <w:ilvl w:val="0"/>
          <w:numId w:val="3"/>
        </w:numPr>
        <w:shd w:val="clear" w:color="auto" w:fill="FFFFFF"/>
        <w:spacing w:before="100" w:beforeAutospacing="1" w:after="100" w:afterAutospacing="1" w:line="240" w:lineRule="auto"/>
        <w:ind w:left="1395"/>
        <w:rPr>
          <w:rFonts w:ascii="Arial" w:eastAsia="Times New Roman" w:hAnsi="Arial" w:cs="Arial"/>
          <w:color w:val="000000"/>
          <w:kern w:val="0"/>
          <w:sz w:val="18"/>
          <w:szCs w:val="18"/>
          <w:lang w:eastAsia="en-GB"/>
          <w14:ligatures w14:val="none"/>
        </w:rPr>
      </w:pPr>
      <w:hyperlink r:id="rId12" w:history="1">
        <w:r w:rsidRPr="006A6B45">
          <w:rPr>
            <w:rFonts w:ascii="Arial" w:eastAsia="Times New Roman" w:hAnsi="Arial" w:cs="Arial"/>
            <w:color w:val="005582"/>
            <w:kern w:val="0"/>
            <w:sz w:val="18"/>
            <w:szCs w:val="18"/>
            <w:u w:val="single"/>
            <w:lang w:eastAsia="en-GB"/>
            <w14:ligatures w14:val="none"/>
          </w:rPr>
          <w:t>XLS format</w:t>
        </w:r>
      </w:hyperlink>
      <w:r w:rsidRPr="006A6B45">
        <w:rPr>
          <w:rFonts w:ascii="Arial" w:eastAsia="Times New Roman" w:hAnsi="Arial" w:cs="Arial"/>
          <w:color w:val="000000"/>
          <w:kern w:val="0"/>
          <w:sz w:val="18"/>
          <w:szCs w:val="18"/>
          <w:lang w:eastAsia="en-GB"/>
          <w14:ligatures w14:val="none"/>
        </w:rPr>
        <w:br/>
        <w:t xml:space="preserve">(33 </w:t>
      </w:r>
      <w:proofErr w:type="spellStart"/>
      <w:r w:rsidRPr="006A6B45">
        <w:rPr>
          <w:rFonts w:ascii="Arial" w:eastAsia="Times New Roman" w:hAnsi="Arial" w:cs="Arial"/>
          <w:color w:val="000000"/>
          <w:kern w:val="0"/>
          <w:sz w:val="18"/>
          <w:szCs w:val="18"/>
          <w:lang w:eastAsia="en-GB"/>
          <w14:ligatures w14:val="none"/>
        </w:rPr>
        <w:t>Kb</w:t>
      </w:r>
      <w:proofErr w:type="spellEnd"/>
      <w:r w:rsidRPr="006A6B45">
        <w:rPr>
          <w:rFonts w:ascii="Arial" w:eastAsia="Times New Roman" w:hAnsi="Arial" w:cs="Arial"/>
          <w:color w:val="000000"/>
          <w:kern w:val="0"/>
          <w:sz w:val="18"/>
          <w:szCs w:val="18"/>
          <w:lang w:eastAsia="en-GB"/>
          <w14:ligatures w14:val="none"/>
        </w:rPr>
        <w:t>)</w:t>
      </w:r>
    </w:p>
    <w:p w14:paraId="69CFF6D9" w14:textId="77777777" w:rsidR="006A6B45" w:rsidRPr="006A6B45" w:rsidRDefault="006A6B45" w:rsidP="006A6B45">
      <w:pPr>
        <w:shd w:val="clear" w:color="auto" w:fill="FFFFFF"/>
        <w:spacing w:line="240" w:lineRule="auto"/>
        <w:rPr>
          <w:rFonts w:ascii="Arial" w:eastAsia="Times New Roman" w:hAnsi="Arial" w:cs="Arial"/>
          <w:color w:val="000000"/>
          <w:kern w:val="0"/>
          <w:sz w:val="18"/>
          <w:szCs w:val="18"/>
          <w:lang w:eastAsia="en-GB"/>
          <w14:ligatures w14:val="none"/>
        </w:rPr>
      </w:pPr>
      <w:r w:rsidRPr="006A6B45">
        <w:rPr>
          <w:rFonts w:ascii="Arial" w:eastAsia="Times New Roman" w:hAnsi="Arial" w:cs="Arial"/>
          <w:color w:val="000000"/>
          <w:kern w:val="0"/>
          <w:sz w:val="18"/>
          <w:szCs w:val="18"/>
          <w:lang w:eastAsia="en-GB"/>
          <w14:ligatures w14:val="none"/>
        </w:rPr>
        <w:t>Categories: </w:t>
      </w:r>
      <w:hyperlink r:id="rId13" w:history="1">
        <w:r w:rsidRPr="006A6B45">
          <w:rPr>
            <w:rFonts w:ascii="Arial" w:eastAsia="Times New Roman" w:hAnsi="Arial" w:cs="Arial"/>
            <w:color w:val="005582"/>
            <w:kern w:val="0"/>
            <w:sz w:val="18"/>
            <w:szCs w:val="18"/>
            <w:u w:val="single"/>
            <w:lang w:eastAsia="en-GB"/>
            <w14:ligatures w14:val="none"/>
          </w:rPr>
          <w:t>Labour Market</w:t>
        </w:r>
      </w:hyperlink>
      <w:r w:rsidRPr="006A6B45">
        <w:rPr>
          <w:rFonts w:ascii="Arial" w:eastAsia="Times New Roman" w:hAnsi="Arial" w:cs="Arial"/>
          <w:color w:val="000000"/>
          <w:kern w:val="0"/>
          <w:sz w:val="18"/>
          <w:szCs w:val="18"/>
          <w:lang w:eastAsia="en-GB"/>
          <w14:ligatures w14:val="none"/>
        </w:rPr>
        <w:t>, </w:t>
      </w:r>
      <w:hyperlink r:id="rId14" w:history="1">
        <w:r w:rsidRPr="006A6B45">
          <w:rPr>
            <w:rFonts w:ascii="Arial" w:eastAsia="Times New Roman" w:hAnsi="Arial" w:cs="Arial"/>
            <w:color w:val="005582"/>
            <w:kern w:val="0"/>
            <w:sz w:val="18"/>
            <w:szCs w:val="18"/>
            <w:u w:val="single"/>
            <w:lang w:eastAsia="en-GB"/>
            <w14:ligatures w14:val="none"/>
          </w:rPr>
          <w:t>People in Work</w:t>
        </w:r>
      </w:hyperlink>
      <w:r w:rsidRPr="006A6B45">
        <w:rPr>
          <w:rFonts w:ascii="Arial" w:eastAsia="Times New Roman" w:hAnsi="Arial" w:cs="Arial"/>
          <w:color w:val="000000"/>
          <w:kern w:val="0"/>
          <w:sz w:val="18"/>
          <w:szCs w:val="18"/>
          <w:lang w:eastAsia="en-GB"/>
          <w14:ligatures w14:val="none"/>
        </w:rPr>
        <w:t>, </w:t>
      </w:r>
      <w:hyperlink r:id="rId15" w:history="1">
        <w:r w:rsidRPr="006A6B45">
          <w:rPr>
            <w:rFonts w:ascii="Arial" w:eastAsia="Times New Roman" w:hAnsi="Arial" w:cs="Arial"/>
            <w:color w:val="005582"/>
            <w:kern w:val="0"/>
            <w:sz w:val="18"/>
            <w:szCs w:val="18"/>
            <w:u w:val="single"/>
            <w:lang w:eastAsia="en-GB"/>
            <w14:ligatures w14:val="none"/>
          </w:rPr>
          <w:t>Employment</w:t>
        </w:r>
      </w:hyperlink>
      <w:r w:rsidRPr="006A6B45">
        <w:rPr>
          <w:rFonts w:ascii="Arial" w:eastAsia="Times New Roman" w:hAnsi="Arial" w:cs="Arial"/>
          <w:color w:val="000000"/>
          <w:kern w:val="0"/>
          <w:sz w:val="18"/>
          <w:szCs w:val="18"/>
          <w:lang w:eastAsia="en-GB"/>
          <w14:ligatures w14:val="none"/>
        </w:rPr>
        <w:t>, </w:t>
      </w:r>
      <w:hyperlink r:id="rId16" w:history="1">
        <w:r w:rsidRPr="006A6B45">
          <w:rPr>
            <w:rFonts w:ascii="Arial" w:eastAsia="Times New Roman" w:hAnsi="Arial" w:cs="Arial"/>
            <w:color w:val="005582"/>
            <w:kern w:val="0"/>
            <w:sz w:val="18"/>
            <w:szCs w:val="18"/>
            <w:u w:val="single"/>
            <w:lang w:eastAsia="en-GB"/>
            <w14:ligatures w14:val="none"/>
          </w:rPr>
          <w:t>Employment Type</w:t>
        </w:r>
      </w:hyperlink>
      <w:r w:rsidRPr="006A6B45">
        <w:rPr>
          <w:rFonts w:ascii="Arial" w:eastAsia="Times New Roman" w:hAnsi="Arial" w:cs="Arial"/>
          <w:color w:val="000000"/>
          <w:kern w:val="0"/>
          <w:sz w:val="18"/>
          <w:szCs w:val="18"/>
          <w:lang w:eastAsia="en-GB"/>
          <w14:ligatures w14:val="none"/>
        </w:rPr>
        <w:t>, </w:t>
      </w:r>
      <w:hyperlink r:id="rId17" w:history="1">
        <w:r w:rsidRPr="006A6B45">
          <w:rPr>
            <w:rFonts w:ascii="Arial" w:eastAsia="Times New Roman" w:hAnsi="Arial" w:cs="Arial"/>
            <w:color w:val="005582"/>
            <w:kern w:val="0"/>
            <w:sz w:val="18"/>
            <w:szCs w:val="18"/>
            <w:u w:val="single"/>
            <w:lang w:eastAsia="en-GB"/>
            <w14:ligatures w14:val="none"/>
          </w:rPr>
          <w:t>Home Working</w:t>
        </w:r>
      </w:hyperlink>
    </w:p>
    <w:p w14:paraId="315E6CC0" w14:textId="77777777" w:rsidR="00372E90" w:rsidRDefault="00372E90"/>
    <w:sectPr w:rsidR="00372E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8311E"/>
    <w:multiLevelType w:val="multilevel"/>
    <w:tmpl w:val="2CA0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D3106"/>
    <w:multiLevelType w:val="multilevel"/>
    <w:tmpl w:val="D0D6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EF71FC"/>
    <w:multiLevelType w:val="multilevel"/>
    <w:tmpl w:val="568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3251435">
    <w:abstractNumId w:val="2"/>
  </w:num>
  <w:num w:numId="2" w16cid:durableId="1282423009">
    <w:abstractNumId w:val="0"/>
  </w:num>
  <w:num w:numId="3" w16cid:durableId="1269771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45"/>
    <w:rsid w:val="00372E90"/>
    <w:rsid w:val="00562395"/>
    <w:rsid w:val="006A6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F26C6"/>
  <w15:chartTrackingRefBased/>
  <w15:docId w15:val="{7C161BB4-A9D3-464D-8021-459471DE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464833">
      <w:bodyDiv w:val="1"/>
      <w:marLeft w:val="0"/>
      <w:marRight w:val="0"/>
      <w:marTop w:val="0"/>
      <w:marBottom w:val="0"/>
      <w:divBdr>
        <w:top w:val="none" w:sz="0" w:space="0" w:color="auto"/>
        <w:left w:val="none" w:sz="0" w:space="0" w:color="auto"/>
        <w:bottom w:val="none" w:sz="0" w:space="0" w:color="auto"/>
        <w:right w:val="none" w:sz="0" w:space="0" w:color="auto"/>
      </w:divBdr>
      <w:divsChild>
        <w:div w:id="353384785">
          <w:marLeft w:val="0"/>
          <w:marRight w:val="0"/>
          <w:marTop w:val="0"/>
          <w:marBottom w:val="150"/>
          <w:divBdr>
            <w:top w:val="none" w:sz="0" w:space="0" w:color="auto"/>
            <w:left w:val="none" w:sz="0" w:space="0" w:color="auto"/>
            <w:bottom w:val="none" w:sz="0" w:space="0" w:color="auto"/>
            <w:right w:val="none" w:sz="0" w:space="0" w:color="auto"/>
          </w:divBdr>
        </w:div>
        <w:div w:id="32509778">
          <w:marLeft w:val="0"/>
          <w:marRight w:val="0"/>
          <w:marTop w:val="0"/>
          <w:marBottom w:val="150"/>
          <w:divBdr>
            <w:top w:val="none" w:sz="0" w:space="0" w:color="auto"/>
            <w:left w:val="none" w:sz="0" w:space="0" w:color="auto"/>
            <w:bottom w:val="none" w:sz="0" w:space="0" w:color="auto"/>
            <w:right w:val="none" w:sz="0" w:space="0" w:color="auto"/>
          </w:divBdr>
        </w:div>
        <w:div w:id="567040132">
          <w:marLeft w:val="375"/>
          <w:marRight w:val="375"/>
          <w:marTop w:val="255"/>
          <w:marBottom w:val="0"/>
          <w:divBdr>
            <w:top w:val="single" w:sz="6" w:space="13" w:color="D6D6D6"/>
            <w:left w:val="none" w:sz="0" w:space="0" w:color="auto"/>
            <w:bottom w:val="none" w:sz="0" w:space="0" w:color="auto"/>
            <w:right w:val="none" w:sz="0" w:space="0" w:color="auto"/>
          </w:divBdr>
          <w:divsChild>
            <w:div w:id="4479116">
              <w:marLeft w:val="0"/>
              <w:marRight w:val="0"/>
              <w:marTop w:val="0"/>
              <w:marBottom w:val="0"/>
              <w:divBdr>
                <w:top w:val="none" w:sz="0" w:space="0" w:color="auto"/>
                <w:left w:val="none" w:sz="0" w:space="0" w:color="auto"/>
                <w:bottom w:val="none" w:sz="0" w:space="0" w:color="auto"/>
                <w:right w:val="none" w:sz="0" w:space="0" w:color="auto"/>
              </w:divBdr>
              <w:divsChild>
                <w:div w:id="91707345">
                  <w:marLeft w:val="375"/>
                  <w:marRight w:val="0"/>
                  <w:marTop w:val="0"/>
                  <w:marBottom w:val="0"/>
                  <w:divBdr>
                    <w:top w:val="none" w:sz="0" w:space="0" w:color="auto"/>
                    <w:left w:val="none" w:sz="0" w:space="0" w:color="auto"/>
                    <w:bottom w:val="none" w:sz="0" w:space="0" w:color="auto"/>
                    <w:right w:val="none" w:sz="0" w:space="0" w:color="auto"/>
                  </w:divBdr>
                  <w:divsChild>
                    <w:div w:id="1743525513">
                      <w:marLeft w:val="0"/>
                      <w:marRight w:val="0"/>
                      <w:marTop w:val="0"/>
                      <w:marBottom w:val="300"/>
                      <w:divBdr>
                        <w:top w:val="single" w:sz="6" w:space="0" w:color="DEDFE1"/>
                        <w:left w:val="single" w:sz="6" w:space="0" w:color="DEDFE1"/>
                        <w:bottom w:val="single" w:sz="6" w:space="0" w:color="DEDFE1"/>
                        <w:right w:val="single" w:sz="6" w:space="0" w:color="DEDFE1"/>
                      </w:divBdr>
                      <w:divsChild>
                        <w:div w:id="1158378276">
                          <w:marLeft w:val="0"/>
                          <w:marRight w:val="0"/>
                          <w:marTop w:val="0"/>
                          <w:marBottom w:val="0"/>
                          <w:divBdr>
                            <w:top w:val="none" w:sz="0" w:space="0" w:color="auto"/>
                            <w:left w:val="none" w:sz="0" w:space="0" w:color="auto"/>
                            <w:bottom w:val="single" w:sz="6" w:space="1" w:color="DEDFE1"/>
                            <w:right w:val="none" w:sz="0" w:space="0" w:color="auto"/>
                          </w:divBdr>
                          <w:divsChild>
                            <w:div w:id="14156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41192">
                  <w:marLeft w:val="0"/>
                  <w:marRight w:val="0"/>
                  <w:marTop w:val="0"/>
                  <w:marBottom w:val="0"/>
                  <w:divBdr>
                    <w:top w:val="none" w:sz="0" w:space="0" w:color="auto"/>
                    <w:left w:val="none" w:sz="0" w:space="0" w:color="auto"/>
                    <w:bottom w:val="none" w:sz="0" w:space="0" w:color="auto"/>
                    <w:right w:val="none" w:sz="0" w:space="0" w:color="auto"/>
                  </w:divBdr>
                  <w:divsChild>
                    <w:div w:id="203296767">
                      <w:marLeft w:val="0"/>
                      <w:marRight w:val="0"/>
                      <w:marTop w:val="0"/>
                      <w:marBottom w:val="0"/>
                      <w:divBdr>
                        <w:top w:val="none" w:sz="0" w:space="0" w:color="auto"/>
                        <w:left w:val="none" w:sz="0" w:space="0" w:color="auto"/>
                        <w:bottom w:val="none" w:sz="0" w:space="0" w:color="auto"/>
                        <w:right w:val="none" w:sz="0" w:space="0" w:color="auto"/>
                      </w:divBdr>
                      <w:divsChild>
                        <w:div w:id="2116631584">
                          <w:marLeft w:val="0"/>
                          <w:marRight w:val="0"/>
                          <w:marTop w:val="0"/>
                          <w:marBottom w:val="255"/>
                          <w:divBdr>
                            <w:top w:val="none" w:sz="0" w:space="0" w:color="auto"/>
                            <w:left w:val="none" w:sz="0" w:space="0" w:color="auto"/>
                            <w:bottom w:val="single" w:sz="6" w:space="13" w:color="D6D6D6"/>
                            <w:right w:val="none" w:sz="0" w:space="0" w:color="auto"/>
                          </w:divBdr>
                        </w:div>
                        <w:div w:id="1889876169">
                          <w:marLeft w:val="0"/>
                          <w:marRight w:val="0"/>
                          <w:marTop w:val="0"/>
                          <w:marBottom w:val="0"/>
                          <w:divBdr>
                            <w:top w:val="none" w:sz="0" w:space="0" w:color="auto"/>
                            <w:left w:val="none" w:sz="0" w:space="0" w:color="auto"/>
                            <w:bottom w:val="none" w:sz="0" w:space="0" w:color="auto"/>
                            <w:right w:val="none" w:sz="0" w:space="0" w:color="auto"/>
                          </w:divBdr>
                          <w:divsChild>
                            <w:div w:id="1956711574">
                              <w:marLeft w:val="0"/>
                              <w:marRight w:val="0"/>
                              <w:marTop w:val="0"/>
                              <w:marBottom w:val="0"/>
                              <w:divBdr>
                                <w:top w:val="none" w:sz="0" w:space="0" w:color="auto"/>
                                <w:left w:val="none" w:sz="0" w:space="0" w:color="auto"/>
                                <w:bottom w:val="none" w:sz="0" w:space="0" w:color="auto"/>
                                <w:right w:val="none" w:sz="0" w:space="0" w:color="auto"/>
                              </w:divBdr>
                              <w:divsChild>
                                <w:div w:id="1076394311">
                                  <w:marLeft w:val="0"/>
                                  <w:marRight w:val="0"/>
                                  <w:marTop w:val="0"/>
                                  <w:marBottom w:val="0"/>
                                  <w:divBdr>
                                    <w:top w:val="none" w:sz="0" w:space="0" w:color="auto"/>
                                    <w:left w:val="none" w:sz="0" w:space="0" w:color="auto"/>
                                    <w:bottom w:val="none" w:sz="0" w:space="0" w:color="auto"/>
                                    <w:right w:val="none" w:sz="0" w:space="0" w:color="auto"/>
                                  </w:divBdr>
                                </w:div>
                                <w:div w:id="1576821286">
                                  <w:marLeft w:val="0"/>
                                  <w:marRight w:val="0"/>
                                  <w:marTop w:val="300"/>
                                  <w:marBottom w:val="0"/>
                                  <w:divBdr>
                                    <w:top w:val="none" w:sz="0" w:space="0" w:color="auto"/>
                                    <w:left w:val="none" w:sz="0" w:space="0" w:color="auto"/>
                                    <w:bottom w:val="none" w:sz="0" w:space="0" w:color="auto"/>
                                    <w:right w:val="none" w:sz="0" w:space="0" w:color="auto"/>
                                  </w:divBdr>
                                  <w:divsChild>
                                    <w:div w:id="68140003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758057">
                          <w:marLeft w:val="0"/>
                          <w:marRight w:val="0"/>
                          <w:marTop w:val="0"/>
                          <w:marBottom w:val="0"/>
                          <w:divBdr>
                            <w:top w:val="none" w:sz="0" w:space="0" w:color="auto"/>
                            <w:left w:val="none" w:sz="0" w:space="0" w:color="auto"/>
                            <w:bottom w:val="none" w:sz="0" w:space="0" w:color="auto"/>
                            <w:right w:val="none" w:sz="0" w:space="0" w:color="auto"/>
                          </w:divBdr>
                          <w:divsChild>
                            <w:div w:id="1275022427">
                              <w:marLeft w:val="0"/>
                              <w:marRight w:val="0"/>
                              <w:marTop w:val="0"/>
                              <w:marBottom w:val="0"/>
                              <w:divBdr>
                                <w:top w:val="none" w:sz="0" w:space="0" w:color="auto"/>
                                <w:left w:val="none" w:sz="0" w:space="0" w:color="auto"/>
                                <w:bottom w:val="none" w:sz="0" w:space="0" w:color="auto"/>
                                <w:right w:val="none" w:sz="0" w:space="0" w:color="auto"/>
                              </w:divBdr>
                              <w:divsChild>
                                <w:div w:id="471485380">
                                  <w:marLeft w:val="0"/>
                                  <w:marRight w:val="0"/>
                                  <w:marTop w:val="0"/>
                                  <w:marBottom w:val="0"/>
                                  <w:divBdr>
                                    <w:top w:val="none" w:sz="0" w:space="0" w:color="auto"/>
                                    <w:left w:val="none" w:sz="0" w:space="0" w:color="auto"/>
                                    <w:bottom w:val="none" w:sz="0" w:space="0" w:color="auto"/>
                                    <w:right w:val="none" w:sz="0" w:space="0" w:color="auto"/>
                                  </w:divBdr>
                                </w:div>
                                <w:div w:id="612437959">
                                  <w:marLeft w:val="0"/>
                                  <w:marRight w:val="0"/>
                                  <w:marTop w:val="300"/>
                                  <w:marBottom w:val="0"/>
                                  <w:divBdr>
                                    <w:top w:val="none" w:sz="0" w:space="0" w:color="auto"/>
                                    <w:left w:val="none" w:sz="0" w:space="0" w:color="auto"/>
                                    <w:bottom w:val="none" w:sz="0" w:space="0" w:color="auto"/>
                                    <w:right w:val="none" w:sz="0" w:space="0" w:color="auto"/>
                                  </w:divBdr>
                                  <w:divsChild>
                                    <w:div w:id="52313472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8116">
                          <w:marLeft w:val="0"/>
                          <w:marRight w:val="0"/>
                          <w:marTop w:val="255"/>
                          <w:marBottom w:val="255"/>
                          <w:divBdr>
                            <w:top w:val="single" w:sz="6" w:space="13" w:color="D6D6D6"/>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barchive.nationalarchives.gov.uk/ukgwa/20160105210705mp_/http:/www.ons.gov.uk/ons/taxonomy/index.html?nscl=Labour+Mark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archive.nationalarchives.gov.uk/ukgwa/20160105210705mp_/http:/www.ons.gov.uk/ons/resources/cht1forhwstory_tcm77-365837.png" TargetMode="External"/><Relationship Id="rId12" Type="http://schemas.openxmlformats.org/officeDocument/2006/relationships/hyperlink" Target="https://webarchive.nationalarchives.gov.uk/ukgwa/20160105210705mp_/http:/www.ons.gov.uk/ons/rel/lmac/characteristics-of-home-workers/2014/chd-2-for-story.xls" TargetMode="External"/><Relationship Id="rId17" Type="http://schemas.openxmlformats.org/officeDocument/2006/relationships/hyperlink" Target="https://webarchive.nationalarchives.gov.uk/ukgwa/20160105210705mp_/http:/www.ons.gov.uk/ons/taxonomy/index.html?nscl=Home+Working" TargetMode="External"/><Relationship Id="rId2" Type="http://schemas.openxmlformats.org/officeDocument/2006/relationships/styles" Target="styles.xml"/><Relationship Id="rId16" Type="http://schemas.openxmlformats.org/officeDocument/2006/relationships/hyperlink" Target="https://webarchive.nationalarchives.gov.uk/ukgwa/20160105210705mp_/http:/www.ons.gov.uk/ons/taxonomy/index.html?nscl=Employment+Type" TargetMode="External"/><Relationship Id="rId1" Type="http://schemas.openxmlformats.org/officeDocument/2006/relationships/numbering" Target="numbering.xml"/><Relationship Id="rId6" Type="http://schemas.openxmlformats.org/officeDocument/2006/relationships/hyperlink" Target="https://webarchive.nationalarchives.gov.uk/ukgwa/20160105210705mp_/http:/www.ons.gov.uk/ons/rel/lmac/characteristics-of-home-workers/2014/rpt-home-workers.html" TargetMode="External"/><Relationship Id="rId11" Type="http://schemas.openxmlformats.org/officeDocument/2006/relationships/image" Target="media/image2.png"/><Relationship Id="rId5" Type="http://schemas.openxmlformats.org/officeDocument/2006/relationships/hyperlink" Target="https://webarchive.nationalarchives.gov.uk/ukgwa/20160105210705mp_/http:/www.ons.gov.uk/ons/rel/lmac/characteristics-of-home-workers/2014/index.html" TargetMode="External"/><Relationship Id="rId15" Type="http://schemas.openxmlformats.org/officeDocument/2006/relationships/hyperlink" Target="https://webarchive.nationalarchives.gov.uk/ukgwa/20160105210705mp_/http:/www.ons.gov.uk/ons/taxonomy/index.html?nscl=Employment" TargetMode="External"/><Relationship Id="rId10" Type="http://schemas.openxmlformats.org/officeDocument/2006/relationships/hyperlink" Target="https://webarchive.nationalarchives.gov.uk/ukgwa/20160105210705mp_/http:/www.ons.gov.uk/ons/resources/cht2forhwstory_tcm77-365838.p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barchive.nationalarchives.gov.uk/ukgwa/20160105210705mp_/http:/www.ons.gov.uk/ons/rel/lmac/characteristics-of-home-workers/2014/chd--fig1.xls" TargetMode="External"/><Relationship Id="rId14" Type="http://schemas.openxmlformats.org/officeDocument/2006/relationships/hyperlink" Target="https://webarchive.nationalarchives.gov.uk/ukgwa/20160105210705mp_/http:/www.ons.gov.uk/ons/taxonomy/index.html?nscl=People+in+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749</Words>
  <Characters>4274</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Peter</dc:creator>
  <cp:keywords/>
  <dc:description/>
  <cp:lastModifiedBy>Helen Peter</cp:lastModifiedBy>
  <cp:revision>2</cp:revision>
  <dcterms:created xsi:type="dcterms:W3CDTF">2023-08-07T19:36:00Z</dcterms:created>
  <dcterms:modified xsi:type="dcterms:W3CDTF">2023-08-07T19:44:00Z</dcterms:modified>
</cp:coreProperties>
</file>